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09634" w14:textId="77777777" w:rsidR="00AA1B39" w:rsidRDefault="00AA1B39" w:rsidP="00B356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79F3577" w14:textId="0C082DE4" w:rsidR="00150D01" w:rsidRDefault="00150D01" w:rsidP="00150D01">
      <w:pPr>
        <w:pStyle w:val="Title"/>
      </w:pPr>
    </w:p>
    <w:p w14:paraId="30D54D69" w14:textId="77777777" w:rsidR="00E35B3C" w:rsidRDefault="00E35B3C" w:rsidP="00150D01">
      <w:pPr>
        <w:pStyle w:val="Title"/>
      </w:pPr>
    </w:p>
    <w:p w14:paraId="21D2D147" w14:textId="77777777" w:rsidR="00A45B62" w:rsidRDefault="00A45B62" w:rsidP="00150D01">
      <w:pPr>
        <w:pStyle w:val="Title"/>
      </w:pPr>
    </w:p>
    <w:p w14:paraId="2FB3495D" w14:textId="77777777" w:rsidR="00150D01" w:rsidRPr="00ED37B4" w:rsidRDefault="00150D01" w:rsidP="00150D01">
      <w:pPr>
        <w:pStyle w:val="Title"/>
        <w:rPr>
          <w:sz w:val="32"/>
        </w:rPr>
      </w:pPr>
    </w:p>
    <w:p w14:paraId="0C1253F3" w14:textId="77777777" w:rsidR="00150D01" w:rsidRDefault="00150D01" w:rsidP="00150D01">
      <w:pPr>
        <w:pStyle w:val="Title"/>
      </w:pPr>
    </w:p>
    <w:p w14:paraId="362B389E" w14:textId="77777777" w:rsidR="00150D01" w:rsidRDefault="00150D01" w:rsidP="00150D01">
      <w:pPr>
        <w:pStyle w:val="Title"/>
      </w:pPr>
      <w:r>
        <w:rPr>
          <w:noProof/>
        </w:rPr>
        <w:drawing>
          <wp:inline distT="0" distB="0" distL="0" distR="0" wp14:anchorId="331031A3" wp14:editId="0F4D097E">
            <wp:extent cx="6912610" cy="972820"/>
            <wp:effectExtent l="0" t="0" r="254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363" t="29625" r="11104" b="496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2610" cy="972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27C6BD" w14:textId="77777777" w:rsidR="00150D01" w:rsidRDefault="00150D01" w:rsidP="00150D01">
      <w:pPr>
        <w:pStyle w:val="Title"/>
        <w:rPr>
          <w:b/>
          <w:sz w:val="28"/>
          <w:szCs w:val="28"/>
        </w:rPr>
      </w:pPr>
    </w:p>
    <w:p w14:paraId="18000320" w14:textId="45228841" w:rsidR="00150D01" w:rsidRDefault="00150D01" w:rsidP="00150D01"/>
    <w:p w14:paraId="58D2049F" w14:textId="77777777" w:rsidR="00E35B3C" w:rsidRDefault="00E35B3C" w:rsidP="00150D01"/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2"/>
        <w:gridCol w:w="276"/>
        <w:gridCol w:w="4542"/>
      </w:tblGrid>
      <w:tr w:rsidR="00150D01" w14:paraId="7523A50F" w14:textId="77777777" w:rsidTr="006C71B7">
        <w:tc>
          <w:tcPr>
            <w:tcW w:w="4542" w:type="dxa"/>
          </w:tcPr>
          <w:p w14:paraId="53849A85" w14:textId="77777777" w:rsidR="005B7AE2" w:rsidRPr="003A1FA6" w:rsidRDefault="00150D01" w:rsidP="005B7AE2">
            <w:pPr>
              <w:rPr>
                <w:rFonts w:ascii="Times New Roman" w:hAnsi="Times New Roman" w:cs="Times New Roman"/>
                <w:sz w:val="24"/>
              </w:rPr>
            </w:pPr>
            <w:r w:rsidRPr="003A1FA6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B7AE2" w:rsidRPr="003A1FA6">
              <w:rPr>
                <w:rFonts w:ascii="Times New Roman" w:hAnsi="Times New Roman" w:cs="Times New Roman"/>
                <w:sz w:val="24"/>
              </w:rPr>
              <w:t>In the Guardianship of:</w:t>
            </w:r>
          </w:p>
          <w:p w14:paraId="356000D7" w14:textId="79169ED3" w:rsidR="005B7AE2" w:rsidRDefault="00141344" w:rsidP="005B7AE2">
            <w:pPr>
              <w:pStyle w:val="SingleSpacing"/>
              <w:spacing w:line="240" w:lineRule="auto"/>
              <w:rPr>
                <w:b/>
              </w:rPr>
            </w:pPr>
            <w:r>
              <w:rPr>
                <w:b/>
              </w:rPr>
              <w:t>______________________</w:t>
            </w:r>
          </w:p>
          <w:p w14:paraId="5E3E75E8" w14:textId="1D3E3514" w:rsidR="004D61F9" w:rsidRDefault="004D61F9" w:rsidP="005B7AE2">
            <w:pPr>
              <w:pStyle w:val="SingleSpacing"/>
              <w:spacing w:line="240" w:lineRule="auto"/>
              <w:rPr>
                <w:b/>
              </w:rPr>
            </w:pPr>
          </w:p>
          <w:p w14:paraId="3F0CF612" w14:textId="48D489B7" w:rsidR="00150D01" w:rsidRDefault="00502751" w:rsidP="004D61F9">
            <w:pPr>
              <w:pStyle w:val="SingleSpacing"/>
              <w:spacing w:line="240" w:lineRule="auto"/>
            </w:pPr>
            <w:r>
              <w:rPr>
                <w:bCs/>
              </w:rPr>
              <w:t>Respondent.</w:t>
            </w:r>
          </w:p>
        </w:tc>
        <w:tc>
          <w:tcPr>
            <w:tcW w:w="276" w:type="dxa"/>
          </w:tcPr>
          <w:p w14:paraId="6F48F2B1" w14:textId="77777777" w:rsidR="00150D01" w:rsidRDefault="00150D01" w:rsidP="006C71B7">
            <w:pPr>
              <w:pStyle w:val="SingleSpacing"/>
            </w:pPr>
            <w:r>
              <w:t>)</w:t>
            </w:r>
          </w:p>
          <w:p w14:paraId="5C936E8E" w14:textId="77777777" w:rsidR="00150D01" w:rsidRDefault="00150D01" w:rsidP="006C71B7">
            <w:pPr>
              <w:pStyle w:val="SingleSpacing"/>
            </w:pPr>
            <w:r>
              <w:t>)</w:t>
            </w:r>
          </w:p>
          <w:p w14:paraId="1F0519FA" w14:textId="77777777" w:rsidR="00150D01" w:rsidRDefault="00150D01" w:rsidP="006C71B7">
            <w:pPr>
              <w:pStyle w:val="SingleSpacing"/>
            </w:pPr>
            <w:r>
              <w:t>)</w:t>
            </w:r>
          </w:p>
          <w:p w14:paraId="21C23DE0" w14:textId="77777777" w:rsidR="00150D01" w:rsidRDefault="00150D01" w:rsidP="006C71B7">
            <w:pPr>
              <w:pStyle w:val="SingleSpacing"/>
            </w:pPr>
            <w:r>
              <w:t>)</w:t>
            </w:r>
          </w:p>
          <w:p w14:paraId="20F5F181" w14:textId="77777777" w:rsidR="00150D01" w:rsidRDefault="00150D01" w:rsidP="006C71B7">
            <w:pPr>
              <w:pStyle w:val="SingleSpacing"/>
            </w:pPr>
            <w:r>
              <w:t>)</w:t>
            </w:r>
          </w:p>
          <w:p w14:paraId="3D65E43C" w14:textId="163EA0BB" w:rsidR="00BF5C83" w:rsidRDefault="00BF5C83" w:rsidP="006C71B7">
            <w:pPr>
              <w:pStyle w:val="SingleSpacing"/>
            </w:pPr>
            <w:r>
              <w:t>)</w:t>
            </w:r>
          </w:p>
        </w:tc>
        <w:tc>
          <w:tcPr>
            <w:tcW w:w="4542" w:type="dxa"/>
          </w:tcPr>
          <w:p w14:paraId="08F193BD" w14:textId="0CFFD79A" w:rsidR="00150D01" w:rsidRDefault="00150D01" w:rsidP="006C71B7">
            <w:pPr>
              <w:pStyle w:val="SingleSpacing"/>
              <w:rPr>
                <w:b/>
              </w:rPr>
            </w:pPr>
            <w:bookmarkStart w:id="0" w:name="CaseNumber"/>
            <w:bookmarkEnd w:id="0"/>
            <w:r>
              <w:t xml:space="preserve"> Case No.:   </w:t>
            </w:r>
            <w:r w:rsidR="00EA3A47">
              <w:rPr>
                <w:b/>
              </w:rPr>
              <w:t>21-4-</w:t>
            </w:r>
            <w:r w:rsidR="00B067F6">
              <w:rPr>
                <w:b/>
              </w:rPr>
              <w:t>01873-32</w:t>
            </w:r>
          </w:p>
          <w:p w14:paraId="36BD6724" w14:textId="77777777" w:rsidR="005B7AE2" w:rsidRDefault="005B7AE2" w:rsidP="006C71B7">
            <w:pPr>
              <w:pStyle w:val="SingleSpacing"/>
            </w:pPr>
          </w:p>
          <w:p w14:paraId="1B2AB3BC" w14:textId="067A4F42" w:rsidR="00150D01" w:rsidRPr="00332446" w:rsidRDefault="002B0769" w:rsidP="006C71B7">
            <w:pPr>
              <w:pStyle w:val="SingleSpacing"/>
              <w:rPr>
                <w:b/>
              </w:rPr>
            </w:pPr>
            <w:r>
              <w:rPr>
                <w:b/>
              </w:rPr>
              <w:t xml:space="preserve">DECLARATION OF </w:t>
            </w:r>
            <w:r w:rsidR="00502751">
              <w:rPr>
                <w:b/>
              </w:rPr>
              <w:t>COURT VISITOR</w:t>
            </w:r>
            <w:r>
              <w:rPr>
                <w:b/>
              </w:rPr>
              <w:t xml:space="preserve"> IN SUPPORT OF </w:t>
            </w:r>
            <w:r w:rsidR="004D61F9">
              <w:rPr>
                <w:b/>
              </w:rPr>
              <w:t>REQUEST</w:t>
            </w:r>
            <w:r>
              <w:rPr>
                <w:b/>
              </w:rPr>
              <w:t xml:space="preserve"> TO EXCEED HOURS</w:t>
            </w:r>
          </w:p>
          <w:p w14:paraId="503DFD1A" w14:textId="77777777" w:rsidR="00150D01" w:rsidRDefault="00150D01" w:rsidP="006C71B7">
            <w:pPr>
              <w:pStyle w:val="SingleSpacing"/>
            </w:pPr>
          </w:p>
        </w:tc>
      </w:tr>
    </w:tbl>
    <w:p w14:paraId="73802FC0" w14:textId="77777777" w:rsidR="00B35619" w:rsidRPr="00B35619" w:rsidRDefault="00150D01" w:rsidP="00B356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</w:t>
      </w:r>
    </w:p>
    <w:p w14:paraId="17B4C9F8" w14:textId="77777777" w:rsidR="00A45B62" w:rsidRDefault="00A45B62" w:rsidP="00AA1B39">
      <w:pPr>
        <w:spacing w:after="0" w:line="360" w:lineRule="auto"/>
        <w:ind w:firstLine="720"/>
        <w:rPr>
          <w:rFonts w:ascii="Times New Roman" w:eastAsia="Times New Roman" w:hAnsi="Times New Roman" w:cs="Times New Roman"/>
        </w:rPr>
      </w:pPr>
    </w:p>
    <w:p w14:paraId="0DB4F442" w14:textId="79E76938" w:rsidR="00E93AB7" w:rsidRPr="005F6451" w:rsidRDefault="009D31B6" w:rsidP="00AA1B3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6451">
        <w:rPr>
          <w:rFonts w:ascii="Times New Roman" w:eastAsia="Times New Roman" w:hAnsi="Times New Roman" w:cs="Times New Roman"/>
          <w:sz w:val="24"/>
          <w:szCs w:val="24"/>
        </w:rPr>
        <w:t xml:space="preserve">William C. Dodge, the </w:t>
      </w:r>
      <w:r w:rsidR="00502751">
        <w:rPr>
          <w:rFonts w:ascii="Times New Roman" w:eastAsia="Times New Roman" w:hAnsi="Times New Roman" w:cs="Times New Roman"/>
          <w:sz w:val="24"/>
          <w:szCs w:val="24"/>
        </w:rPr>
        <w:t>Court Visitor (CV)</w:t>
      </w:r>
      <w:r w:rsidR="00EA226F" w:rsidRPr="005F6451">
        <w:rPr>
          <w:rFonts w:ascii="Times New Roman" w:eastAsia="Times New Roman" w:hAnsi="Times New Roman" w:cs="Times New Roman"/>
          <w:sz w:val="24"/>
          <w:szCs w:val="24"/>
        </w:rPr>
        <w:t xml:space="preserve"> for the above-named person, </w:t>
      </w:r>
      <w:r w:rsidRPr="005F6451">
        <w:rPr>
          <w:rFonts w:ascii="Times New Roman" w:eastAsia="Times New Roman" w:hAnsi="Times New Roman" w:cs="Times New Roman"/>
          <w:sz w:val="24"/>
          <w:szCs w:val="24"/>
        </w:rPr>
        <w:t>declares as follows:</w:t>
      </w:r>
    </w:p>
    <w:p w14:paraId="720B2E30" w14:textId="77777777" w:rsidR="00A45B62" w:rsidRPr="005F6451" w:rsidRDefault="00A45B62" w:rsidP="00AA1B3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1F7D9B4" w14:textId="56FEC788" w:rsidR="00A45B62" w:rsidRDefault="009D31B6" w:rsidP="0027778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6451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="00A45B62" w:rsidRPr="005F6451">
        <w:rPr>
          <w:rFonts w:ascii="Times New Roman" w:eastAsia="Times New Roman" w:hAnsi="Times New Roman" w:cs="Times New Roman"/>
          <w:sz w:val="24"/>
          <w:szCs w:val="24"/>
        </w:rPr>
        <w:t>initial order</w:t>
      </w:r>
      <w:r w:rsidRPr="005F6451">
        <w:rPr>
          <w:rFonts w:ascii="Times New Roman" w:eastAsia="Times New Roman" w:hAnsi="Times New Roman" w:cs="Times New Roman"/>
          <w:sz w:val="24"/>
          <w:szCs w:val="24"/>
        </w:rPr>
        <w:t xml:space="preserve"> appointing me as </w:t>
      </w:r>
      <w:r w:rsidR="00502751">
        <w:rPr>
          <w:rFonts w:ascii="Times New Roman" w:eastAsia="Times New Roman" w:hAnsi="Times New Roman" w:cs="Times New Roman"/>
          <w:sz w:val="24"/>
          <w:szCs w:val="24"/>
        </w:rPr>
        <w:t>CV</w:t>
      </w:r>
      <w:r w:rsidR="005B7AE2" w:rsidRPr="005F64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6451">
        <w:rPr>
          <w:rFonts w:ascii="Times New Roman" w:eastAsia="Times New Roman" w:hAnsi="Times New Roman" w:cs="Times New Roman"/>
          <w:sz w:val="24"/>
          <w:szCs w:val="24"/>
        </w:rPr>
        <w:t>in this case set forth an hourly rate of $</w:t>
      </w:r>
      <w:r w:rsidR="00000078">
        <w:rPr>
          <w:rFonts w:ascii="Times New Roman" w:eastAsia="Times New Roman" w:hAnsi="Times New Roman" w:cs="Times New Roman"/>
          <w:sz w:val="24"/>
          <w:szCs w:val="24"/>
        </w:rPr>
        <w:t>60</w:t>
      </w:r>
      <w:r w:rsidRPr="005F6451">
        <w:rPr>
          <w:rFonts w:ascii="Times New Roman" w:eastAsia="Times New Roman" w:hAnsi="Times New Roman" w:cs="Times New Roman"/>
          <w:sz w:val="24"/>
          <w:szCs w:val="24"/>
        </w:rPr>
        <w:t xml:space="preserve"> with a maximum </w:t>
      </w:r>
      <w:r w:rsidR="00BF5C83"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 w:rsidR="005F6451" w:rsidRPr="005F6451">
        <w:rPr>
          <w:rFonts w:ascii="Times New Roman" w:eastAsia="Times New Roman" w:hAnsi="Times New Roman" w:cs="Times New Roman"/>
          <w:sz w:val="24"/>
          <w:szCs w:val="24"/>
        </w:rPr>
        <w:t>fifteen hours</w:t>
      </w:r>
      <w:r w:rsidRPr="005F6451">
        <w:rPr>
          <w:rFonts w:ascii="Times New Roman" w:eastAsia="Times New Roman" w:hAnsi="Times New Roman" w:cs="Times New Roman"/>
          <w:sz w:val="24"/>
          <w:szCs w:val="24"/>
        </w:rPr>
        <w:t xml:space="preserve">.  I understand </w:t>
      </w:r>
      <w:r w:rsidR="005F6451" w:rsidRPr="005F6451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5F6451">
        <w:rPr>
          <w:rFonts w:ascii="Times New Roman" w:eastAsia="Times New Roman" w:hAnsi="Times New Roman" w:cs="Times New Roman"/>
          <w:sz w:val="24"/>
          <w:szCs w:val="24"/>
        </w:rPr>
        <w:t xml:space="preserve"> maximum </w:t>
      </w:r>
      <w:r w:rsidR="005F6451" w:rsidRPr="005F6451">
        <w:rPr>
          <w:rFonts w:ascii="Times New Roman" w:eastAsia="Times New Roman" w:hAnsi="Times New Roman" w:cs="Times New Roman"/>
          <w:sz w:val="24"/>
          <w:szCs w:val="24"/>
        </w:rPr>
        <w:t>hours</w:t>
      </w:r>
      <w:r w:rsidRPr="005F6451">
        <w:rPr>
          <w:rFonts w:ascii="Times New Roman" w:eastAsia="Times New Roman" w:hAnsi="Times New Roman" w:cs="Times New Roman"/>
          <w:sz w:val="24"/>
          <w:szCs w:val="24"/>
        </w:rPr>
        <w:t xml:space="preserve"> shall not be exceeded without prior approval of the Court.  In the course of my investigation</w:t>
      </w:r>
      <w:r w:rsidR="00BF5C8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F6451">
        <w:rPr>
          <w:rFonts w:ascii="Times New Roman" w:eastAsia="Times New Roman" w:hAnsi="Times New Roman" w:cs="Times New Roman"/>
          <w:sz w:val="24"/>
          <w:szCs w:val="24"/>
        </w:rPr>
        <w:t xml:space="preserve"> I have reached the limit </w:t>
      </w:r>
      <w:r w:rsidR="00BF5C83">
        <w:rPr>
          <w:rFonts w:ascii="Times New Roman" w:eastAsia="Times New Roman" w:hAnsi="Times New Roman" w:cs="Times New Roman"/>
          <w:sz w:val="24"/>
          <w:szCs w:val="24"/>
        </w:rPr>
        <w:t xml:space="preserve">of hours </w:t>
      </w:r>
      <w:r w:rsidR="00EA226F" w:rsidRPr="005F6451">
        <w:rPr>
          <w:rFonts w:ascii="Times New Roman" w:eastAsia="Times New Roman" w:hAnsi="Times New Roman" w:cs="Times New Roman"/>
          <w:sz w:val="24"/>
          <w:szCs w:val="24"/>
        </w:rPr>
        <w:t>set in</w:t>
      </w:r>
      <w:r w:rsidRPr="005F6451">
        <w:rPr>
          <w:rFonts w:ascii="Times New Roman" w:eastAsia="Times New Roman" w:hAnsi="Times New Roman" w:cs="Times New Roman"/>
          <w:sz w:val="24"/>
          <w:szCs w:val="24"/>
        </w:rPr>
        <w:t xml:space="preserve"> the initial order.  However, there are certain </w:t>
      </w:r>
      <w:r w:rsidR="00F967FD" w:rsidRPr="005F6451">
        <w:rPr>
          <w:rFonts w:ascii="Times New Roman" w:eastAsia="Times New Roman" w:hAnsi="Times New Roman" w:cs="Times New Roman"/>
          <w:sz w:val="24"/>
          <w:szCs w:val="24"/>
        </w:rPr>
        <w:t xml:space="preserve">specific </w:t>
      </w:r>
      <w:r w:rsidRPr="005F6451">
        <w:rPr>
          <w:rFonts w:ascii="Times New Roman" w:eastAsia="Times New Roman" w:hAnsi="Times New Roman" w:cs="Times New Roman"/>
          <w:sz w:val="24"/>
          <w:szCs w:val="24"/>
        </w:rPr>
        <w:t xml:space="preserve">issues, unique to this case, which </w:t>
      </w:r>
      <w:r w:rsidR="00277784" w:rsidRPr="005F6451">
        <w:rPr>
          <w:rFonts w:ascii="Times New Roman" w:eastAsia="Times New Roman" w:hAnsi="Times New Roman" w:cs="Times New Roman"/>
          <w:sz w:val="24"/>
          <w:szCs w:val="24"/>
        </w:rPr>
        <w:t xml:space="preserve">have </w:t>
      </w:r>
      <w:r w:rsidRPr="005F6451">
        <w:rPr>
          <w:rFonts w:ascii="Times New Roman" w:eastAsia="Times New Roman" w:hAnsi="Times New Roman" w:cs="Times New Roman"/>
          <w:sz w:val="24"/>
          <w:szCs w:val="24"/>
        </w:rPr>
        <w:t>require</w:t>
      </w:r>
      <w:r w:rsidR="00277784" w:rsidRPr="005F6451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5F64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967FD" w:rsidRPr="005F6451">
        <w:rPr>
          <w:rFonts w:ascii="Times New Roman" w:eastAsia="Times New Roman" w:hAnsi="Times New Roman" w:cs="Times New Roman"/>
          <w:sz w:val="24"/>
          <w:szCs w:val="24"/>
        </w:rPr>
        <w:t>additional time to complete my</w:t>
      </w:r>
      <w:r w:rsidRPr="005F6451">
        <w:rPr>
          <w:rFonts w:ascii="Times New Roman" w:eastAsia="Times New Roman" w:hAnsi="Times New Roman" w:cs="Times New Roman"/>
          <w:sz w:val="24"/>
          <w:szCs w:val="24"/>
        </w:rPr>
        <w:t xml:space="preserve"> investigation in order to provide a thorough report and recommendation to the Court</w:t>
      </w:r>
      <w:r w:rsidR="005F6451" w:rsidRPr="005F6451">
        <w:rPr>
          <w:rFonts w:ascii="Times New Roman" w:eastAsia="Times New Roman" w:hAnsi="Times New Roman" w:cs="Times New Roman"/>
          <w:sz w:val="24"/>
          <w:szCs w:val="24"/>
        </w:rPr>
        <w:t xml:space="preserve"> and serve the </w:t>
      </w:r>
      <w:r w:rsidR="00502751">
        <w:rPr>
          <w:rFonts w:ascii="Times New Roman" w:eastAsia="Times New Roman" w:hAnsi="Times New Roman" w:cs="Times New Roman"/>
          <w:sz w:val="24"/>
          <w:szCs w:val="24"/>
        </w:rPr>
        <w:t>Respondent’s</w:t>
      </w:r>
      <w:r w:rsidR="005F6451" w:rsidRPr="005F6451">
        <w:rPr>
          <w:rFonts w:ascii="Times New Roman" w:eastAsia="Times New Roman" w:hAnsi="Times New Roman" w:cs="Times New Roman"/>
          <w:sz w:val="24"/>
          <w:szCs w:val="24"/>
        </w:rPr>
        <w:t xml:space="preserve"> best interests</w:t>
      </w:r>
      <w:r w:rsidRPr="005F6451">
        <w:rPr>
          <w:rFonts w:ascii="Times New Roman" w:eastAsia="Times New Roman" w:hAnsi="Times New Roman" w:cs="Times New Roman"/>
          <w:sz w:val="24"/>
          <w:szCs w:val="24"/>
        </w:rPr>
        <w:t xml:space="preserve">.  The issues are as follows:  </w:t>
      </w:r>
    </w:p>
    <w:p w14:paraId="00FA8D0F" w14:textId="77777777" w:rsidR="005F6451" w:rsidRPr="005F6451" w:rsidRDefault="005F6451" w:rsidP="0027778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2B24B2C" w14:textId="77777777" w:rsidR="001B6249" w:rsidRPr="001B6249" w:rsidRDefault="001B6249" w:rsidP="001B6249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6249">
        <w:rPr>
          <w:rFonts w:ascii="Times New Roman" w:eastAsia="Times New Roman" w:hAnsi="Times New Roman" w:cs="Times New Roman"/>
          <w:sz w:val="24"/>
          <w:szCs w:val="24"/>
        </w:rPr>
        <w:t>WILLIAM C. DODGE hereby declares as follows:</w:t>
      </w:r>
    </w:p>
    <w:p w14:paraId="0CFA812C" w14:textId="6041959D" w:rsidR="001B6249" w:rsidRDefault="001B6249" w:rsidP="001B624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6249">
        <w:rPr>
          <w:rFonts w:ascii="Times New Roman" w:eastAsia="Times New Roman" w:hAnsi="Times New Roman" w:cs="Times New Roman"/>
          <w:sz w:val="24"/>
          <w:szCs w:val="24"/>
        </w:rPr>
        <w:t xml:space="preserve">I was appointed </w:t>
      </w:r>
      <w:r w:rsidR="00502751">
        <w:rPr>
          <w:rFonts w:ascii="Times New Roman" w:eastAsia="Times New Roman" w:hAnsi="Times New Roman" w:cs="Times New Roman"/>
          <w:sz w:val="24"/>
          <w:szCs w:val="24"/>
        </w:rPr>
        <w:t>CV</w:t>
      </w:r>
      <w:r w:rsidRPr="001B6249">
        <w:rPr>
          <w:rFonts w:ascii="Times New Roman" w:eastAsia="Times New Roman" w:hAnsi="Times New Roman" w:cs="Times New Roman"/>
          <w:sz w:val="24"/>
          <w:szCs w:val="24"/>
        </w:rPr>
        <w:t xml:space="preserve"> for </w:t>
      </w:r>
      <w:r w:rsidR="00141344">
        <w:rPr>
          <w:rFonts w:ascii="Times New Roman" w:eastAsia="Times New Roman" w:hAnsi="Times New Roman" w:cs="Times New Roman"/>
          <w:sz w:val="24"/>
          <w:szCs w:val="24"/>
        </w:rPr>
        <w:t>_____________</w:t>
      </w:r>
      <w:r w:rsidR="00B067F6">
        <w:rPr>
          <w:rFonts w:ascii="Times New Roman" w:eastAsia="Times New Roman" w:hAnsi="Times New Roman" w:cs="Times New Roman"/>
          <w:sz w:val="24"/>
          <w:szCs w:val="24"/>
        </w:rPr>
        <w:t xml:space="preserve"> on </w:t>
      </w:r>
      <w:r w:rsidR="00175EFA">
        <w:rPr>
          <w:rFonts w:ascii="Times New Roman" w:eastAsia="Times New Roman" w:hAnsi="Times New Roman" w:cs="Times New Roman"/>
          <w:sz w:val="24"/>
          <w:szCs w:val="24"/>
        </w:rPr>
        <w:t>September 23, 2021.</w:t>
      </w:r>
    </w:p>
    <w:p w14:paraId="659215F5" w14:textId="57552CE3" w:rsidR="00355CB8" w:rsidRDefault="00E125C1" w:rsidP="001B624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 Order Appointing </w:t>
      </w:r>
      <w:r w:rsidR="00502751">
        <w:rPr>
          <w:rFonts w:ascii="Times New Roman" w:eastAsia="Times New Roman" w:hAnsi="Times New Roman" w:cs="Times New Roman"/>
          <w:sz w:val="24"/>
          <w:szCs w:val="24"/>
        </w:rPr>
        <w:t>Court Visitor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included additional language not customary in such orders. The language</w:t>
      </w:r>
      <w:r w:rsidR="00FC0486">
        <w:rPr>
          <w:rFonts w:ascii="Times New Roman" w:eastAsia="Times New Roman" w:hAnsi="Times New Roman" w:cs="Times New Roman"/>
          <w:sz w:val="24"/>
          <w:szCs w:val="24"/>
        </w:rPr>
        <w:t xml:space="preserve"> provide</w:t>
      </w:r>
      <w:r w:rsidR="00556742">
        <w:rPr>
          <w:rFonts w:ascii="Times New Roman" w:eastAsia="Times New Roman" w:hAnsi="Times New Roman" w:cs="Times New Roman"/>
          <w:sz w:val="24"/>
          <w:szCs w:val="24"/>
        </w:rPr>
        <w:t>d authorization:</w:t>
      </w:r>
    </w:p>
    <w:p w14:paraId="1FD28E54" w14:textId="52F46941" w:rsidR="00355CB8" w:rsidRDefault="00FC0486" w:rsidP="00355CB8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to work with medical staff for non-</w:t>
      </w:r>
      <w:r w:rsidR="00555E5B">
        <w:rPr>
          <w:rFonts w:ascii="Times New Roman" w:eastAsia="Times New Roman" w:hAnsi="Times New Roman" w:cs="Times New Roman"/>
          <w:sz w:val="24"/>
          <w:szCs w:val="24"/>
        </w:rPr>
        <w:t>invasive medical decisions and secure appropriate residential living arrangements outside of the hospital</w:t>
      </w:r>
    </w:p>
    <w:p w14:paraId="7B6A4F10" w14:textId="6B6224FE" w:rsidR="0038491C" w:rsidRPr="0038491C" w:rsidRDefault="00355CB8" w:rsidP="0038491C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to sign any and all documents related to long term care eligibility, discharge from the hospital</w:t>
      </w:r>
      <w:r w:rsidR="00556742">
        <w:rPr>
          <w:rFonts w:ascii="Times New Roman" w:eastAsia="Times New Roman" w:hAnsi="Times New Roman" w:cs="Times New Roman"/>
          <w:sz w:val="24"/>
          <w:szCs w:val="24"/>
        </w:rPr>
        <w:t>, admission to a new residence or long-term care facility.</w:t>
      </w:r>
      <w:r w:rsidRPr="0038491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14:paraId="645E3DA5" w14:textId="4DF4C65F" w:rsidR="00175EFA" w:rsidRPr="005D3C90" w:rsidRDefault="00ED1C2A" w:rsidP="005D3C90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to determine and sign Medicaid eligibility documents</w:t>
      </w:r>
      <w:r w:rsidR="00481D9C" w:rsidRPr="005D3C90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14:paraId="7B74C20E" w14:textId="426B0A32" w:rsidR="00230D71" w:rsidRDefault="00230D71" w:rsidP="002174C3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to provide Consent to DSHS to provide services, including but not limited to</w:t>
      </w:r>
      <w:r w:rsidR="002174C3">
        <w:rPr>
          <w:rFonts w:ascii="Times New Roman" w:eastAsia="Times New Roman" w:hAnsi="Times New Roman" w:cs="Times New Roman"/>
          <w:sz w:val="24"/>
          <w:szCs w:val="24"/>
        </w:rPr>
        <w:t xml:space="preserve"> c</w:t>
      </w:r>
      <w:r w:rsidR="002174C3" w:rsidRPr="002174C3">
        <w:rPr>
          <w:rFonts w:ascii="Times New Roman" w:eastAsia="Times New Roman" w:hAnsi="Times New Roman" w:cs="Times New Roman"/>
          <w:sz w:val="24"/>
          <w:szCs w:val="24"/>
        </w:rPr>
        <w:t>onsent, acknowledgement of services and rights and responsibilities for DSHS or the VA</w:t>
      </w:r>
      <w:r w:rsidR="002174C3">
        <w:rPr>
          <w:rFonts w:ascii="Times New Roman" w:eastAsia="Times New Roman" w:hAnsi="Times New Roman" w:cs="Times New Roman"/>
          <w:sz w:val="24"/>
          <w:szCs w:val="24"/>
        </w:rPr>
        <w:t>, and</w:t>
      </w:r>
      <w:r w:rsidR="005D3C90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2F663EB9" w14:textId="6903F7E4" w:rsidR="002174C3" w:rsidRDefault="002174C3" w:rsidP="002174C3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to find an appropriate guardian of the person and/or estate.</w:t>
      </w:r>
    </w:p>
    <w:p w14:paraId="3A313B96" w14:textId="7F544C93" w:rsidR="0096000A" w:rsidRPr="00872493" w:rsidRDefault="0016714E" w:rsidP="0087249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Such additional requirements/authorization required c</w:t>
      </w:r>
      <w:r w:rsidR="0096000A">
        <w:rPr>
          <w:rFonts w:ascii="Times New Roman" w:eastAsia="Times New Roman" w:hAnsi="Times New Roman" w:cs="Times New Roman"/>
          <w:sz w:val="24"/>
          <w:szCs w:val="24"/>
        </w:rPr>
        <w:t>onference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="0096000A">
        <w:rPr>
          <w:rFonts w:ascii="Times New Roman" w:eastAsia="Times New Roman" w:hAnsi="Times New Roman" w:cs="Times New Roman"/>
          <w:sz w:val="24"/>
          <w:szCs w:val="24"/>
        </w:rPr>
        <w:t xml:space="preserve"> with DSHS caseworker</w:t>
      </w:r>
      <w:r w:rsidR="00795A01">
        <w:rPr>
          <w:rFonts w:ascii="Times New Roman" w:eastAsia="Times New Roman" w:hAnsi="Times New Roman" w:cs="Times New Roman"/>
          <w:sz w:val="24"/>
          <w:szCs w:val="24"/>
        </w:rPr>
        <w:t xml:space="preserve"> (in person at SHMC)</w:t>
      </w:r>
      <w:r w:rsidR="008724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A725C">
        <w:rPr>
          <w:rFonts w:ascii="Times New Roman" w:eastAsia="Times New Roman" w:hAnsi="Times New Roman" w:cs="Times New Roman"/>
          <w:sz w:val="24"/>
          <w:szCs w:val="24"/>
        </w:rPr>
        <w:t xml:space="preserve">to arrange for a functional evaluation </w:t>
      </w:r>
      <w:r w:rsidR="00872493">
        <w:rPr>
          <w:rFonts w:ascii="Times New Roman" w:eastAsia="Times New Roman" w:hAnsi="Times New Roman" w:cs="Times New Roman"/>
          <w:sz w:val="24"/>
          <w:szCs w:val="24"/>
        </w:rPr>
        <w:t xml:space="preserve">and a telephone conference call </w:t>
      </w:r>
      <w:r w:rsidR="0096000A" w:rsidRPr="00872493">
        <w:rPr>
          <w:rFonts w:ascii="Times New Roman" w:eastAsia="Times New Roman" w:hAnsi="Times New Roman" w:cs="Times New Roman"/>
          <w:sz w:val="24"/>
          <w:szCs w:val="24"/>
        </w:rPr>
        <w:t>with DSHS Public Benefits Specialist</w:t>
      </w:r>
      <w:r w:rsidR="00795A01" w:rsidRPr="008724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A725C">
        <w:rPr>
          <w:rFonts w:ascii="Times New Roman" w:eastAsia="Times New Roman" w:hAnsi="Times New Roman" w:cs="Times New Roman"/>
          <w:sz w:val="24"/>
          <w:szCs w:val="24"/>
        </w:rPr>
        <w:t>for financial eligibility – both for Medicaid eligibility.</w:t>
      </w:r>
    </w:p>
    <w:p w14:paraId="79DDD587" w14:textId="77777777" w:rsidR="00EA6F46" w:rsidRDefault="00FA22E2" w:rsidP="00FA22E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Such additional requirements/authorization involved contacting the</w:t>
      </w:r>
      <w:r w:rsidR="00D307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75EFA">
        <w:rPr>
          <w:rFonts w:ascii="Times New Roman" w:eastAsia="Times New Roman" w:hAnsi="Times New Roman" w:cs="Times New Roman"/>
          <w:sz w:val="24"/>
          <w:szCs w:val="24"/>
        </w:rPr>
        <w:t>benefi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ts </w:t>
      </w:r>
      <w:r w:rsidR="00D30783">
        <w:rPr>
          <w:rFonts w:ascii="Times New Roman" w:eastAsia="Times New Roman" w:hAnsi="Times New Roman" w:cs="Times New Roman"/>
          <w:sz w:val="24"/>
          <w:szCs w:val="24"/>
        </w:rPr>
        <w:t xml:space="preserve">specialist at the local VA facility by phone call and an in person interview to coordinate VA </w:t>
      </w:r>
      <w:r w:rsidR="00EA6F46">
        <w:rPr>
          <w:rFonts w:ascii="Times New Roman" w:eastAsia="Times New Roman" w:hAnsi="Times New Roman" w:cs="Times New Roman"/>
          <w:sz w:val="24"/>
          <w:szCs w:val="24"/>
        </w:rPr>
        <w:t>requirements with the Medicaid application process.</w:t>
      </w:r>
    </w:p>
    <w:p w14:paraId="1A10E8C0" w14:textId="3489C5FD" w:rsidR="005654BC" w:rsidRDefault="00EA6F46" w:rsidP="00FA22E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Because no guardian was nominated, after contacting the </w:t>
      </w:r>
      <w:r w:rsidR="00704B6B">
        <w:rPr>
          <w:rFonts w:ascii="Times New Roman" w:eastAsia="Times New Roman" w:hAnsi="Times New Roman" w:cs="Times New Roman"/>
          <w:sz w:val="24"/>
          <w:szCs w:val="24"/>
        </w:rPr>
        <w:t>Respondent’s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three siblings by telephone and email and determining all were in agreement with a guardianship for their Brother and none felt they were qualified to serve as guardian, I had to research and contact a number of Certified Professional Guardians in Spokane to determine their interest, </w:t>
      </w:r>
      <w:r w:rsidR="005654BC">
        <w:rPr>
          <w:rFonts w:ascii="Times New Roman" w:eastAsia="Times New Roman" w:hAnsi="Times New Roman" w:cs="Times New Roman"/>
          <w:sz w:val="24"/>
          <w:szCs w:val="24"/>
        </w:rPr>
        <w:t xml:space="preserve">qualifications and </w:t>
      </w:r>
      <w:r>
        <w:rPr>
          <w:rFonts w:ascii="Times New Roman" w:eastAsia="Times New Roman" w:hAnsi="Times New Roman" w:cs="Times New Roman"/>
          <w:sz w:val="24"/>
          <w:szCs w:val="24"/>
        </w:rPr>
        <w:t>availability</w:t>
      </w:r>
      <w:r w:rsidR="005654BC">
        <w:rPr>
          <w:rFonts w:ascii="Times New Roman" w:eastAsia="Times New Roman" w:hAnsi="Times New Roman" w:cs="Times New Roman"/>
          <w:sz w:val="24"/>
          <w:szCs w:val="24"/>
        </w:rPr>
        <w:t xml:space="preserve"> to serve as CPG for the </w:t>
      </w:r>
      <w:r w:rsidR="0021015A">
        <w:rPr>
          <w:rFonts w:ascii="Times New Roman" w:eastAsia="Times New Roman" w:hAnsi="Times New Roman" w:cs="Times New Roman"/>
          <w:sz w:val="24"/>
          <w:szCs w:val="24"/>
        </w:rPr>
        <w:t>Respondent</w:t>
      </w:r>
      <w:r w:rsidR="005654BC">
        <w:rPr>
          <w:rFonts w:ascii="Times New Roman" w:eastAsia="Times New Roman" w:hAnsi="Times New Roman" w:cs="Times New Roman"/>
          <w:sz w:val="24"/>
          <w:szCs w:val="24"/>
        </w:rPr>
        <w:t>.  After responding to interest and interviewing</w:t>
      </w:r>
      <w:r w:rsidR="002801D1">
        <w:rPr>
          <w:rFonts w:ascii="Times New Roman" w:eastAsia="Times New Roman" w:hAnsi="Times New Roman" w:cs="Times New Roman"/>
          <w:sz w:val="24"/>
          <w:szCs w:val="24"/>
        </w:rPr>
        <w:t>, I was able to select a suitable and available CPG candidate.</w:t>
      </w:r>
    </w:p>
    <w:p w14:paraId="6FF7D6DD" w14:textId="49FF9EE1" w:rsidR="002801D1" w:rsidRDefault="002801D1" w:rsidP="001B624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Although noted as a County </w:t>
      </w:r>
      <w:r w:rsidR="00022BD0"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ay case, due to the lack of knowledge of the </w:t>
      </w:r>
      <w:r w:rsidR="0021015A">
        <w:rPr>
          <w:rFonts w:ascii="Times New Roman" w:eastAsia="Times New Roman" w:hAnsi="Times New Roman" w:cs="Times New Roman"/>
          <w:sz w:val="24"/>
          <w:szCs w:val="24"/>
        </w:rPr>
        <w:t>Respondent’s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financial resources, I was able to determine </w:t>
      </w:r>
      <w:r w:rsidR="00022BD0">
        <w:rPr>
          <w:rFonts w:ascii="Times New Roman" w:eastAsia="Times New Roman" w:hAnsi="Times New Roman" w:cs="Times New Roman"/>
          <w:sz w:val="24"/>
          <w:szCs w:val="24"/>
        </w:rPr>
        <w:t>suitable assets available to convert this from a County pay to private pay case.  Draw down of the financial resources will be required to reduce the assets to the Medicaid eligibility level.</w:t>
      </w:r>
    </w:p>
    <w:p w14:paraId="6ECBE164" w14:textId="0DDFAE36" w:rsidR="00DB482F" w:rsidRPr="001B6249" w:rsidRDefault="00022BD0" w:rsidP="001B624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 o</w:t>
      </w:r>
      <w:r w:rsidR="00DB482F">
        <w:rPr>
          <w:rFonts w:ascii="Times New Roman" w:eastAsia="Times New Roman" w:hAnsi="Times New Roman" w:cs="Times New Roman"/>
          <w:sz w:val="24"/>
          <w:szCs w:val="24"/>
        </w:rPr>
        <w:t>riginal hearing date</w:t>
      </w:r>
      <w:r w:rsidR="00BB5193">
        <w:rPr>
          <w:rFonts w:ascii="Times New Roman" w:eastAsia="Times New Roman" w:hAnsi="Times New Roman" w:cs="Times New Roman"/>
          <w:sz w:val="24"/>
          <w:szCs w:val="24"/>
        </w:rPr>
        <w:t xml:space="preserve"> scheduled for December 2, 2021.  In light of </w:t>
      </w:r>
      <w:r w:rsidR="00481D9C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="00704B6B">
        <w:rPr>
          <w:rFonts w:ascii="Times New Roman" w:eastAsia="Times New Roman" w:hAnsi="Times New Roman" w:cs="Times New Roman"/>
          <w:sz w:val="24"/>
          <w:szCs w:val="24"/>
        </w:rPr>
        <w:t>Respondent’s</w:t>
      </w:r>
      <w:r w:rsidR="00BB5193">
        <w:rPr>
          <w:rFonts w:ascii="Times New Roman" w:eastAsia="Times New Roman" w:hAnsi="Times New Roman" w:cs="Times New Roman"/>
          <w:sz w:val="24"/>
          <w:szCs w:val="24"/>
        </w:rPr>
        <w:t xml:space="preserve"> condition which had improved and required a lower level of care, he was move</w:t>
      </w:r>
      <w:r w:rsidR="0051669A">
        <w:rPr>
          <w:rFonts w:ascii="Times New Roman" w:eastAsia="Times New Roman" w:hAnsi="Times New Roman" w:cs="Times New Roman"/>
          <w:sz w:val="24"/>
          <w:szCs w:val="24"/>
        </w:rPr>
        <w:t xml:space="preserve">d to long term stay ward which takes a much needed bed from others requiring higher level of </w:t>
      </w:r>
      <w:r w:rsidR="003A147A">
        <w:rPr>
          <w:rFonts w:ascii="Times New Roman" w:eastAsia="Times New Roman" w:hAnsi="Times New Roman" w:cs="Times New Roman"/>
          <w:sz w:val="24"/>
          <w:szCs w:val="24"/>
        </w:rPr>
        <w:t xml:space="preserve">care.  </w:t>
      </w:r>
      <w:r w:rsidR="00A2481E">
        <w:rPr>
          <w:rFonts w:ascii="Times New Roman" w:eastAsia="Times New Roman" w:hAnsi="Times New Roman" w:cs="Times New Roman"/>
          <w:sz w:val="24"/>
          <w:szCs w:val="24"/>
        </w:rPr>
        <w:t>After contacting the GMP to obtain a sooner hearing date and getting one, I had to d</w:t>
      </w:r>
      <w:r w:rsidR="003A147A">
        <w:rPr>
          <w:rFonts w:ascii="Times New Roman" w:eastAsia="Times New Roman" w:hAnsi="Times New Roman" w:cs="Times New Roman"/>
          <w:sz w:val="24"/>
          <w:szCs w:val="24"/>
        </w:rPr>
        <w:t>raft</w:t>
      </w:r>
      <w:r w:rsidR="00A2481E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r w:rsidR="003A147A">
        <w:rPr>
          <w:rFonts w:ascii="Times New Roman" w:eastAsia="Times New Roman" w:hAnsi="Times New Roman" w:cs="Times New Roman"/>
          <w:sz w:val="24"/>
          <w:szCs w:val="24"/>
        </w:rPr>
        <w:lastRenderedPageBreak/>
        <w:t>Motion</w:t>
      </w:r>
      <w:r w:rsidR="0049134C">
        <w:rPr>
          <w:rFonts w:ascii="Times New Roman" w:eastAsia="Times New Roman" w:hAnsi="Times New Roman" w:cs="Times New Roman"/>
          <w:sz w:val="24"/>
          <w:szCs w:val="24"/>
        </w:rPr>
        <w:t>, Declaration and Order to Shorten Time which will be presented at the new hearing scheduled for November 4, 2021.</w:t>
      </w:r>
      <w:r w:rsidR="005B3AF0">
        <w:rPr>
          <w:rFonts w:ascii="Times New Roman" w:eastAsia="Times New Roman" w:hAnsi="Times New Roman" w:cs="Times New Roman"/>
          <w:sz w:val="24"/>
          <w:szCs w:val="24"/>
        </w:rPr>
        <w:t xml:space="preserve"> Shortening time was agreed to by Petitioner.</w:t>
      </w:r>
    </w:p>
    <w:p w14:paraId="057CA03F" w14:textId="7F40F2A4" w:rsidR="001B6249" w:rsidRPr="001B6249" w:rsidRDefault="001B6249" w:rsidP="001B624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6249">
        <w:rPr>
          <w:rFonts w:ascii="Times New Roman" w:eastAsia="Times New Roman" w:hAnsi="Times New Roman" w:cs="Times New Roman"/>
          <w:sz w:val="24"/>
          <w:szCs w:val="24"/>
        </w:rPr>
        <w:t xml:space="preserve">The Petitioner has no objection to </w:t>
      </w:r>
      <w:r w:rsidR="00AE3F4B">
        <w:rPr>
          <w:rFonts w:ascii="Times New Roman" w:eastAsia="Times New Roman" w:hAnsi="Times New Roman" w:cs="Times New Roman"/>
          <w:sz w:val="24"/>
          <w:szCs w:val="24"/>
        </w:rPr>
        <w:t>the Court’s approval of additional hours in light of the</w:t>
      </w:r>
      <w:r w:rsidR="00F1225D">
        <w:rPr>
          <w:rFonts w:ascii="Times New Roman" w:eastAsia="Times New Roman" w:hAnsi="Times New Roman" w:cs="Times New Roman"/>
          <w:sz w:val="24"/>
          <w:szCs w:val="24"/>
        </w:rPr>
        <w:t xml:space="preserve"> issues addressed in this declaration.</w:t>
      </w:r>
    </w:p>
    <w:p w14:paraId="191C415E" w14:textId="70B98988" w:rsidR="001B6249" w:rsidRPr="001B6249" w:rsidRDefault="001B6249" w:rsidP="001B624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6249">
        <w:rPr>
          <w:rFonts w:ascii="Times New Roman" w:eastAsia="Times New Roman" w:hAnsi="Times New Roman" w:cs="Times New Roman"/>
          <w:sz w:val="24"/>
          <w:szCs w:val="24"/>
        </w:rPr>
        <w:t xml:space="preserve">This matter is </w:t>
      </w:r>
      <w:r w:rsidR="00AE3F4B">
        <w:rPr>
          <w:rFonts w:ascii="Times New Roman" w:eastAsia="Times New Roman" w:hAnsi="Times New Roman" w:cs="Times New Roman"/>
          <w:sz w:val="24"/>
          <w:szCs w:val="24"/>
        </w:rPr>
        <w:t xml:space="preserve">expected to be </w:t>
      </w:r>
      <w:r w:rsidRPr="001B6249">
        <w:rPr>
          <w:rFonts w:ascii="Times New Roman" w:eastAsia="Times New Roman" w:hAnsi="Times New Roman" w:cs="Times New Roman"/>
          <w:sz w:val="24"/>
          <w:szCs w:val="24"/>
        </w:rPr>
        <w:t>uncontested.</w:t>
      </w:r>
    </w:p>
    <w:p w14:paraId="6C047AA1" w14:textId="77777777" w:rsidR="001B6249" w:rsidRPr="001B6249" w:rsidRDefault="001B6249" w:rsidP="001B6249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9DDB162" w14:textId="32086E7C" w:rsidR="001B6249" w:rsidRPr="00B730A9" w:rsidRDefault="001B6249" w:rsidP="00B730A9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6249">
        <w:rPr>
          <w:rFonts w:ascii="Times New Roman" w:eastAsia="Times New Roman" w:hAnsi="Times New Roman" w:cs="Times New Roman"/>
          <w:sz w:val="24"/>
          <w:szCs w:val="24"/>
        </w:rPr>
        <w:t>I declare under penalty of perjury under the laws of the State of Washington that the foregoing is true and correct to the best of my knowledge, information, and belief.</w:t>
      </w:r>
    </w:p>
    <w:p w14:paraId="15455E7F" w14:textId="6B206486" w:rsidR="00B35619" w:rsidRDefault="00B35619" w:rsidP="00B356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6451">
        <w:rPr>
          <w:rFonts w:ascii="Times New Roman" w:eastAsia="Times New Roman" w:hAnsi="Times New Roman" w:cs="Times New Roman"/>
          <w:sz w:val="24"/>
          <w:szCs w:val="24"/>
        </w:rPr>
        <w:t xml:space="preserve">Dated </w:t>
      </w:r>
      <w:r w:rsidR="00455CE6">
        <w:rPr>
          <w:rFonts w:ascii="Times New Roman" w:eastAsia="Times New Roman" w:hAnsi="Times New Roman" w:cs="Times New Roman"/>
          <w:sz w:val="24"/>
          <w:szCs w:val="24"/>
        </w:rPr>
        <w:t>__________________</w:t>
      </w:r>
      <w:r w:rsidR="00E96D2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A58E965" w14:textId="77777777" w:rsidR="005F6451" w:rsidRDefault="005F6451" w:rsidP="00B356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987CCAE" w14:textId="77777777" w:rsidR="00907F65" w:rsidRPr="005F6451" w:rsidRDefault="00907F65" w:rsidP="00B356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567D45F" w14:textId="77777777" w:rsidR="00FA73F4" w:rsidRPr="005F6451" w:rsidRDefault="00FA73F4" w:rsidP="00FA73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</w:t>
      </w:r>
    </w:p>
    <w:p w14:paraId="7B2060B7" w14:textId="677BF68E" w:rsidR="00B35619" w:rsidRPr="005F6451" w:rsidRDefault="00A525A9" w:rsidP="00B356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6451">
        <w:rPr>
          <w:rFonts w:ascii="Times New Roman" w:eastAsia="Times New Roman" w:hAnsi="Times New Roman" w:cs="Times New Roman"/>
          <w:sz w:val="24"/>
          <w:szCs w:val="24"/>
        </w:rPr>
        <w:t>William C. Dod</w:t>
      </w:r>
      <w:r w:rsidR="00E35B3C">
        <w:rPr>
          <w:rFonts w:ascii="Times New Roman" w:eastAsia="Times New Roman" w:hAnsi="Times New Roman" w:cs="Times New Roman"/>
          <w:sz w:val="24"/>
          <w:szCs w:val="24"/>
        </w:rPr>
        <w:t>ge</w:t>
      </w:r>
    </w:p>
    <w:p w14:paraId="04580BB2" w14:textId="5C8CF971" w:rsidR="00FA73F4" w:rsidRDefault="0021015A" w:rsidP="00B356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Court Visitor</w:t>
      </w:r>
      <w:r w:rsidR="00A525A9" w:rsidRPr="005F6451">
        <w:rPr>
          <w:rFonts w:ascii="Times New Roman" w:eastAsia="Times New Roman" w:hAnsi="Times New Roman" w:cs="Times New Roman"/>
          <w:sz w:val="24"/>
          <w:szCs w:val="24"/>
        </w:rPr>
        <w:t xml:space="preserve"> for </w:t>
      </w:r>
      <w:r w:rsidR="00141344">
        <w:rPr>
          <w:rFonts w:ascii="Times New Roman" w:eastAsia="Times New Roman" w:hAnsi="Times New Roman" w:cs="Times New Roman"/>
          <w:sz w:val="24"/>
          <w:szCs w:val="24"/>
        </w:rPr>
        <w:t>_______________</w:t>
      </w:r>
    </w:p>
    <w:sectPr w:rsidR="00FA73F4" w:rsidSect="00A45B62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2753B" w14:textId="77777777" w:rsidR="00FD1216" w:rsidRDefault="00FD1216" w:rsidP="00FF4502">
      <w:pPr>
        <w:spacing w:after="0" w:line="240" w:lineRule="auto"/>
      </w:pPr>
      <w:r>
        <w:separator/>
      </w:r>
    </w:p>
  </w:endnote>
  <w:endnote w:type="continuationSeparator" w:id="0">
    <w:p w14:paraId="236DB0EA" w14:textId="77777777" w:rsidR="00FD1216" w:rsidRDefault="00FD1216" w:rsidP="00FF4502">
      <w:pPr>
        <w:spacing w:after="0" w:line="240" w:lineRule="auto"/>
      </w:pPr>
      <w:r>
        <w:continuationSeparator/>
      </w:r>
    </w:p>
  </w:endnote>
  <w:endnote w:type="continuationNotice" w:id="1">
    <w:p w14:paraId="33F62D4A" w14:textId="77777777" w:rsidR="00FD1216" w:rsidRDefault="00FD121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82013061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B26DCEB" w14:textId="2E70F24F" w:rsidR="004236B4" w:rsidRDefault="004236B4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7510900" w14:textId="77777777" w:rsidR="005A2EF1" w:rsidRDefault="005A2E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0ECFB" w14:textId="77777777" w:rsidR="00FD1216" w:rsidRDefault="00FD1216" w:rsidP="00FF4502">
      <w:pPr>
        <w:spacing w:after="0" w:line="240" w:lineRule="auto"/>
      </w:pPr>
      <w:r>
        <w:separator/>
      </w:r>
    </w:p>
  </w:footnote>
  <w:footnote w:type="continuationSeparator" w:id="0">
    <w:p w14:paraId="75A434B1" w14:textId="77777777" w:rsidR="00FD1216" w:rsidRDefault="00FD1216" w:rsidP="00FF4502">
      <w:pPr>
        <w:spacing w:after="0" w:line="240" w:lineRule="auto"/>
      </w:pPr>
      <w:r>
        <w:continuationSeparator/>
      </w:r>
    </w:p>
  </w:footnote>
  <w:footnote w:type="continuationNotice" w:id="1">
    <w:p w14:paraId="37DF28FF" w14:textId="77777777" w:rsidR="00FD1216" w:rsidRDefault="00FD1216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544E9"/>
    <w:multiLevelType w:val="hybridMultilevel"/>
    <w:tmpl w:val="2ED066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01759B"/>
    <w:multiLevelType w:val="hybridMultilevel"/>
    <w:tmpl w:val="FEBE424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21495025">
    <w:abstractNumId w:val="0"/>
  </w:num>
  <w:num w:numId="2" w16cid:durableId="17187001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proofState w:spelling="clean"/>
  <w:documentProtection w:edit="forms" w:enforcement="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619"/>
    <w:rsid w:val="00000078"/>
    <w:rsid w:val="00001E1E"/>
    <w:rsid w:val="00017B73"/>
    <w:rsid w:val="00022BD0"/>
    <w:rsid w:val="00033057"/>
    <w:rsid w:val="00035F16"/>
    <w:rsid w:val="0007760C"/>
    <w:rsid w:val="000B3AA6"/>
    <w:rsid w:val="00106C9B"/>
    <w:rsid w:val="00141344"/>
    <w:rsid w:val="001448B9"/>
    <w:rsid w:val="00150D01"/>
    <w:rsid w:val="00163F5D"/>
    <w:rsid w:val="0016714E"/>
    <w:rsid w:val="00174B15"/>
    <w:rsid w:val="00175EFA"/>
    <w:rsid w:val="00182EA6"/>
    <w:rsid w:val="001B6249"/>
    <w:rsid w:val="001F53F3"/>
    <w:rsid w:val="00203FB0"/>
    <w:rsid w:val="0021015A"/>
    <w:rsid w:val="002174C3"/>
    <w:rsid w:val="00230D71"/>
    <w:rsid w:val="002607A1"/>
    <w:rsid w:val="0026325C"/>
    <w:rsid w:val="002762B8"/>
    <w:rsid w:val="00277784"/>
    <w:rsid w:val="002801D1"/>
    <w:rsid w:val="00282E6C"/>
    <w:rsid w:val="002B0769"/>
    <w:rsid w:val="002B4530"/>
    <w:rsid w:val="00300D29"/>
    <w:rsid w:val="00313B89"/>
    <w:rsid w:val="003429EE"/>
    <w:rsid w:val="00355CB8"/>
    <w:rsid w:val="00360858"/>
    <w:rsid w:val="00366C11"/>
    <w:rsid w:val="0037583E"/>
    <w:rsid w:val="0038491C"/>
    <w:rsid w:val="003A147A"/>
    <w:rsid w:val="003A1FA6"/>
    <w:rsid w:val="003A49C4"/>
    <w:rsid w:val="003D17DA"/>
    <w:rsid w:val="003F36E9"/>
    <w:rsid w:val="003F76F3"/>
    <w:rsid w:val="004236B4"/>
    <w:rsid w:val="00437D10"/>
    <w:rsid w:val="00441D28"/>
    <w:rsid w:val="00444FF7"/>
    <w:rsid w:val="00453EE4"/>
    <w:rsid w:val="00455CE6"/>
    <w:rsid w:val="004574B6"/>
    <w:rsid w:val="00481D9C"/>
    <w:rsid w:val="0049134C"/>
    <w:rsid w:val="0049193C"/>
    <w:rsid w:val="00497A91"/>
    <w:rsid w:val="004D61F9"/>
    <w:rsid w:val="004F2A1F"/>
    <w:rsid w:val="00502751"/>
    <w:rsid w:val="0050309D"/>
    <w:rsid w:val="0051669A"/>
    <w:rsid w:val="0052005E"/>
    <w:rsid w:val="00555E5B"/>
    <w:rsid w:val="00556742"/>
    <w:rsid w:val="005654BC"/>
    <w:rsid w:val="005826EA"/>
    <w:rsid w:val="005A2EF1"/>
    <w:rsid w:val="005B1316"/>
    <w:rsid w:val="005B3AF0"/>
    <w:rsid w:val="005B7AE2"/>
    <w:rsid w:val="005D0956"/>
    <w:rsid w:val="005D3C90"/>
    <w:rsid w:val="005F378E"/>
    <w:rsid w:val="005F6451"/>
    <w:rsid w:val="00601AC3"/>
    <w:rsid w:val="00616AD5"/>
    <w:rsid w:val="00657005"/>
    <w:rsid w:val="0066017F"/>
    <w:rsid w:val="00680345"/>
    <w:rsid w:val="006A725C"/>
    <w:rsid w:val="006D4AFD"/>
    <w:rsid w:val="006E19F4"/>
    <w:rsid w:val="00702657"/>
    <w:rsid w:val="00704B6B"/>
    <w:rsid w:val="00713A80"/>
    <w:rsid w:val="00795A01"/>
    <w:rsid w:val="007F4AA8"/>
    <w:rsid w:val="00805D40"/>
    <w:rsid w:val="00827468"/>
    <w:rsid w:val="0083523A"/>
    <w:rsid w:val="00860EC3"/>
    <w:rsid w:val="00872493"/>
    <w:rsid w:val="00880E45"/>
    <w:rsid w:val="00891166"/>
    <w:rsid w:val="008933D4"/>
    <w:rsid w:val="008A0C50"/>
    <w:rsid w:val="008B1108"/>
    <w:rsid w:val="00907F65"/>
    <w:rsid w:val="0096000A"/>
    <w:rsid w:val="00974A1D"/>
    <w:rsid w:val="00997D74"/>
    <w:rsid w:val="009A1D13"/>
    <w:rsid w:val="009A39CE"/>
    <w:rsid w:val="009D31B6"/>
    <w:rsid w:val="009E79F5"/>
    <w:rsid w:val="00A118AE"/>
    <w:rsid w:val="00A2481E"/>
    <w:rsid w:val="00A45B62"/>
    <w:rsid w:val="00A525A9"/>
    <w:rsid w:val="00A913F8"/>
    <w:rsid w:val="00AA1B39"/>
    <w:rsid w:val="00AB3D19"/>
    <w:rsid w:val="00AE3F4B"/>
    <w:rsid w:val="00B039DE"/>
    <w:rsid w:val="00B067F6"/>
    <w:rsid w:val="00B35619"/>
    <w:rsid w:val="00B47B0A"/>
    <w:rsid w:val="00B549E2"/>
    <w:rsid w:val="00B730A9"/>
    <w:rsid w:val="00B86E40"/>
    <w:rsid w:val="00BA79AA"/>
    <w:rsid w:val="00BB5193"/>
    <w:rsid w:val="00BC41C5"/>
    <w:rsid w:val="00BF5C83"/>
    <w:rsid w:val="00C27FA6"/>
    <w:rsid w:val="00C86CB4"/>
    <w:rsid w:val="00CC6FD5"/>
    <w:rsid w:val="00CF1F45"/>
    <w:rsid w:val="00CF217E"/>
    <w:rsid w:val="00CF239B"/>
    <w:rsid w:val="00D1799A"/>
    <w:rsid w:val="00D30783"/>
    <w:rsid w:val="00D3079C"/>
    <w:rsid w:val="00D7327E"/>
    <w:rsid w:val="00D75A72"/>
    <w:rsid w:val="00DB482F"/>
    <w:rsid w:val="00DE7BB9"/>
    <w:rsid w:val="00E125C1"/>
    <w:rsid w:val="00E1375B"/>
    <w:rsid w:val="00E35B3C"/>
    <w:rsid w:val="00E54A48"/>
    <w:rsid w:val="00E80278"/>
    <w:rsid w:val="00E93AB7"/>
    <w:rsid w:val="00E96D2C"/>
    <w:rsid w:val="00EA226F"/>
    <w:rsid w:val="00EA3A47"/>
    <w:rsid w:val="00EA41C4"/>
    <w:rsid w:val="00EA6F46"/>
    <w:rsid w:val="00ED07B3"/>
    <w:rsid w:val="00ED1C2A"/>
    <w:rsid w:val="00F1225D"/>
    <w:rsid w:val="00F12A78"/>
    <w:rsid w:val="00F2013B"/>
    <w:rsid w:val="00F2361B"/>
    <w:rsid w:val="00F2486A"/>
    <w:rsid w:val="00F52129"/>
    <w:rsid w:val="00F61845"/>
    <w:rsid w:val="00F73DD1"/>
    <w:rsid w:val="00F75E10"/>
    <w:rsid w:val="00F967FD"/>
    <w:rsid w:val="00FA22E2"/>
    <w:rsid w:val="00FA73F4"/>
    <w:rsid w:val="00FA7D03"/>
    <w:rsid w:val="00FB0B73"/>
    <w:rsid w:val="00FC0486"/>
    <w:rsid w:val="00FC7015"/>
    <w:rsid w:val="00FD1216"/>
    <w:rsid w:val="00FF17C3"/>
    <w:rsid w:val="00FF4502"/>
    <w:rsid w:val="00FF4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235EAD"/>
  <w15:docId w15:val="{06B216B9-FFA1-42EF-9627-229F32829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45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4502"/>
  </w:style>
  <w:style w:type="paragraph" w:styleId="Footer">
    <w:name w:val="footer"/>
    <w:basedOn w:val="Normal"/>
    <w:link w:val="FooterChar"/>
    <w:uiPriority w:val="99"/>
    <w:unhideWhenUsed/>
    <w:rsid w:val="00FF45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4502"/>
  </w:style>
  <w:style w:type="paragraph" w:styleId="Title">
    <w:name w:val="Title"/>
    <w:basedOn w:val="Normal"/>
    <w:link w:val="TitleChar"/>
    <w:qFormat/>
    <w:rsid w:val="00150D01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150D01"/>
    <w:rPr>
      <w:rFonts w:ascii="Times New Roman" w:eastAsia="Times New Roman" w:hAnsi="Times New Roman" w:cs="Times New Roman"/>
      <w:sz w:val="24"/>
      <w:szCs w:val="20"/>
    </w:rPr>
  </w:style>
  <w:style w:type="paragraph" w:customStyle="1" w:styleId="SingleSpacing">
    <w:name w:val="Single Spacing"/>
    <w:basedOn w:val="Normal"/>
    <w:rsid w:val="00150D01"/>
    <w:pPr>
      <w:spacing w:after="0" w:line="240" w:lineRule="exact"/>
    </w:pPr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0D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0D0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12A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DADD91-7C2E-49A6-8EEA-38DA8A0259E3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602</Words>
  <Characters>3436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Spokane County</Company>
  <LinksUpToDate>false</LinksUpToDate>
  <CharactersWithSpaces>4030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Guardianship Monitoring Program</dc:creator>
  <cp:lastModifiedBy>Bill Dodge</cp:lastModifiedBy>
  <cp:revision>6</cp:revision>
  <cp:lastPrinted>2021-08-19T15:51:00Z</cp:lastPrinted>
  <dcterms:created xsi:type="dcterms:W3CDTF">2021-10-14T02:56:00Z</dcterms:created>
  <dcterms:modified xsi:type="dcterms:W3CDTF">2022-10-10T03:37:00Z</dcterms:modified>
</cp:coreProperties>
</file>